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D80C" w14:textId="77777777" w:rsidR="00CA4D1C" w:rsidRPr="009F6F4A" w:rsidRDefault="00731444" w:rsidP="00083B74">
      <w:pPr>
        <w:rPr>
          <w:rFonts w:asciiTheme="minorHAnsi" w:hAnsiTheme="minorHAnsi" w:cstheme="minorHAnsi"/>
          <w:b/>
          <w:sz w:val="23"/>
        </w:rPr>
      </w:pPr>
      <w:r>
        <w:rPr>
          <w:rFonts w:ascii="Arial" w:hAnsi="Arial" w:cs="Arial"/>
          <w:b/>
          <w:noProof/>
          <w:sz w:val="23"/>
          <w:lang w:eastAsia="en-GB"/>
        </w:rPr>
        <w:drawing>
          <wp:inline distT="0" distB="0" distL="0" distR="0" wp14:anchorId="2943AFDA" wp14:editId="24BDFD5D">
            <wp:extent cx="143256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D5100" w14:textId="77777777" w:rsidR="00CA4D1C" w:rsidRPr="009F6F4A" w:rsidRDefault="00CA4D1C" w:rsidP="00083B74">
      <w:pPr>
        <w:jc w:val="center"/>
        <w:rPr>
          <w:rFonts w:asciiTheme="minorHAnsi" w:hAnsiTheme="minorHAnsi" w:cstheme="minorHAnsi"/>
          <w:b/>
          <w:sz w:val="23"/>
        </w:rPr>
      </w:pPr>
    </w:p>
    <w:p w14:paraId="3567A9BF" w14:textId="77777777" w:rsidR="0042352D" w:rsidRDefault="0042352D" w:rsidP="00083B74">
      <w:pPr>
        <w:jc w:val="center"/>
        <w:rPr>
          <w:rFonts w:asciiTheme="minorHAnsi" w:hAnsiTheme="minorHAnsi" w:cstheme="minorHAnsi"/>
          <w:b/>
          <w:sz w:val="23"/>
        </w:rPr>
      </w:pPr>
    </w:p>
    <w:p w14:paraId="2B6B0998" w14:textId="77777777" w:rsidR="0042352D" w:rsidRPr="00766765" w:rsidRDefault="0042352D" w:rsidP="00083B74">
      <w:pPr>
        <w:jc w:val="center"/>
        <w:rPr>
          <w:rFonts w:asciiTheme="minorHAnsi" w:hAnsiTheme="minorHAnsi" w:cstheme="minorHAnsi"/>
          <w:b/>
          <w:sz w:val="23"/>
        </w:rPr>
      </w:pPr>
    </w:p>
    <w:p w14:paraId="6B394497" w14:textId="64E7CB31" w:rsidR="00CA4D1C" w:rsidRPr="00766765" w:rsidRDefault="00083B74" w:rsidP="00083B74">
      <w:pPr>
        <w:jc w:val="center"/>
        <w:rPr>
          <w:rFonts w:asciiTheme="minorHAnsi" w:hAnsiTheme="minorHAnsi" w:cstheme="minorHAnsi"/>
          <w:b/>
          <w:sz w:val="23"/>
        </w:rPr>
      </w:pPr>
      <w:r w:rsidRPr="00766765">
        <w:rPr>
          <w:rFonts w:asciiTheme="minorHAnsi" w:hAnsiTheme="minorHAnsi" w:cstheme="minorHAnsi"/>
          <w:b/>
          <w:sz w:val="23"/>
        </w:rPr>
        <w:t>Job Description</w:t>
      </w:r>
    </w:p>
    <w:p w14:paraId="0F093BA9" w14:textId="77777777" w:rsidR="00CA4D1C" w:rsidRPr="00766765" w:rsidRDefault="00CA4D1C" w:rsidP="00083B74">
      <w:pPr>
        <w:rPr>
          <w:rFonts w:asciiTheme="minorHAnsi" w:hAnsiTheme="minorHAnsi" w:cstheme="minorHAnsi"/>
          <w:b/>
          <w:sz w:val="23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5902"/>
      </w:tblGrid>
      <w:tr w:rsidR="00CA4D1C" w:rsidRPr="00766765" w14:paraId="5D1E684E" w14:textId="77777777" w:rsidTr="00766765">
        <w:tc>
          <w:tcPr>
            <w:tcW w:w="2882" w:type="dxa"/>
          </w:tcPr>
          <w:p w14:paraId="70427DF6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>Job title:</w:t>
            </w:r>
          </w:p>
        </w:tc>
        <w:tc>
          <w:tcPr>
            <w:tcW w:w="5902" w:type="dxa"/>
          </w:tcPr>
          <w:p w14:paraId="41E72FB7" w14:textId="17195E08" w:rsidR="00CA4D1C" w:rsidRPr="00766765" w:rsidRDefault="00731444" w:rsidP="003010BC">
            <w:pPr>
              <w:rPr>
                <w:rFonts w:asciiTheme="minorHAnsi" w:hAnsiTheme="minorHAnsi" w:cstheme="minorHAnsi"/>
                <w:b/>
                <w:sz w:val="23"/>
              </w:rPr>
            </w:pPr>
            <w:r w:rsidRPr="007667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Teaching </w:t>
            </w:r>
            <w:r w:rsidR="00620473" w:rsidRPr="007667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&amp; Research </w:t>
            </w:r>
            <w:r w:rsidR="00C0413F" w:rsidRPr="00766765">
              <w:rPr>
                <w:rFonts w:asciiTheme="minorHAnsi" w:hAnsiTheme="minorHAnsi" w:cstheme="minorHAnsi"/>
                <w:b/>
                <w:sz w:val="22"/>
                <w:szCs w:val="22"/>
              </w:rPr>
              <w:t>Technician</w:t>
            </w:r>
            <w:r w:rsidR="009F14F5" w:rsidRPr="007667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0A0A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Synthetic </w:t>
            </w:r>
            <w:r w:rsidR="00AF30DE" w:rsidRPr="00766765">
              <w:rPr>
                <w:rFonts w:asciiTheme="minorHAnsi" w:hAnsiTheme="minorHAnsi" w:cstheme="minorHAnsi"/>
                <w:b/>
                <w:sz w:val="22"/>
                <w:szCs w:val="22"/>
              </w:rPr>
              <w:t>Chemistry</w:t>
            </w:r>
            <w:r w:rsidR="00A534B4" w:rsidRPr="0076676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A4D1C" w:rsidRPr="00766765" w14:paraId="67C1B2D4" w14:textId="77777777" w:rsidTr="00766765">
        <w:tc>
          <w:tcPr>
            <w:tcW w:w="2882" w:type="dxa"/>
          </w:tcPr>
          <w:p w14:paraId="72945698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>Department/School:</w:t>
            </w:r>
          </w:p>
        </w:tc>
        <w:tc>
          <w:tcPr>
            <w:tcW w:w="5902" w:type="dxa"/>
          </w:tcPr>
          <w:p w14:paraId="3FCAF264" w14:textId="21374DC3" w:rsidR="00CA4D1C" w:rsidRPr="00766765" w:rsidRDefault="00620473" w:rsidP="00083B74">
            <w:pPr>
              <w:rPr>
                <w:rFonts w:asciiTheme="minorHAnsi" w:hAnsiTheme="minorHAnsi" w:cstheme="minorHAnsi"/>
                <w:b/>
                <w:sz w:val="23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</w:rPr>
              <w:t>Chemistry</w:t>
            </w:r>
          </w:p>
        </w:tc>
      </w:tr>
      <w:tr w:rsidR="00CA4D1C" w:rsidRPr="00766765" w14:paraId="5778D059" w14:textId="77777777" w:rsidTr="00766765">
        <w:tc>
          <w:tcPr>
            <w:tcW w:w="2882" w:type="dxa"/>
          </w:tcPr>
          <w:p w14:paraId="0CF65A51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>Grade:</w:t>
            </w:r>
          </w:p>
        </w:tc>
        <w:tc>
          <w:tcPr>
            <w:tcW w:w="5902" w:type="dxa"/>
          </w:tcPr>
          <w:p w14:paraId="61F38D19" w14:textId="07932CA3" w:rsidR="00CA4D1C" w:rsidRPr="00766765" w:rsidRDefault="009A281B" w:rsidP="00083B74">
            <w:pPr>
              <w:rPr>
                <w:rFonts w:asciiTheme="minorHAnsi" w:hAnsiTheme="minorHAnsi" w:cstheme="minorHAnsi"/>
                <w:b/>
                <w:sz w:val="23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</w:rPr>
              <w:t>5</w:t>
            </w:r>
            <w:r w:rsidR="00981E5E" w:rsidRPr="00766765">
              <w:rPr>
                <w:rFonts w:asciiTheme="minorHAnsi" w:hAnsiTheme="minorHAnsi" w:cstheme="minorHAnsi"/>
                <w:b/>
                <w:sz w:val="23"/>
              </w:rPr>
              <w:t xml:space="preserve"> (</w:t>
            </w:r>
            <w:r w:rsidR="00753639">
              <w:rPr>
                <w:rFonts w:asciiTheme="minorHAnsi" w:hAnsiTheme="minorHAnsi" w:cstheme="minorHAnsi"/>
                <w:b/>
                <w:sz w:val="23"/>
              </w:rPr>
              <w:t xml:space="preserve">1 </w:t>
            </w:r>
            <w:r w:rsidR="00981E5E" w:rsidRPr="00766765">
              <w:rPr>
                <w:rFonts w:asciiTheme="minorHAnsi" w:hAnsiTheme="minorHAnsi" w:cstheme="minorHAnsi"/>
                <w:b/>
                <w:sz w:val="23"/>
              </w:rPr>
              <w:t>FTE)</w:t>
            </w:r>
          </w:p>
        </w:tc>
      </w:tr>
      <w:tr w:rsidR="00CA4D1C" w:rsidRPr="00766765" w14:paraId="3FCB20F4" w14:textId="77777777" w:rsidTr="00766765">
        <w:tc>
          <w:tcPr>
            <w:tcW w:w="2882" w:type="dxa"/>
          </w:tcPr>
          <w:p w14:paraId="50DDBF1F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>Location:</w:t>
            </w:r>
          </w:p>
        </w:tc>
        <w:tc>
          <w:tcPr>
            <w:tcW w:w="5902" w:type="dxa"/>
          </w:tcPr>
          <w:p w14:paraId="65F9EB77" w14:textId="17BED5EA" w:rsidR="00CA4D1C" w:rsidRPr="00766765" w:rsidRDefault="000563F6" w:rsidP="009A281B">
            <w:pPr>
              <w:rPr>
                <w:rFonts w:asciiTheme="minorHAnsi" w:hAnsiTheme="minorHAnsi" w:cstheme="minorHAnsi"/>
                <w:b/>
                <w:sz w:val="23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</w:rPr>
              <w:t>Faculty of Science</w:t>
            </w:r>
            <w:r w:rsidR="00766765" w:rsidRPr="00766765">
              <w:rPr>
                <w:rFonts w:asciiTheme="minorHAnsi" w:hAnsiTheme="minorHAnsi" w:cstheme="minorHAnsi"/>
                <w:b/>
                <w:sz w:val="23"/>
              </w:rPr>
              <w:t>:  University of Bath premises</w:t>
            </w:r>
          </w:p>
        </w:tc>
      </w:tr>
    </w:tbl>
    <w:p w14:paraId="6EBBF99E" w14:textId="77777777" w:rsidR="00CA4D1C" w:rsidRPr="00766765" w:rsidRDefault="00CA4D1C" w:rsidP="00083B74">
      <w:pPr>
        <w:rPr>
          <w:rFonts w:asciiTheme="minorHAnsi" w:hAnsiTheme="minorHAnsi" w:cstheme="minorHAnsi"/>
          <w:sz w:val="23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CA4D1C" w:rsidRPr="00766765" w14:paraId="6817851F" w14:textId="77777777" w:rsidTr="00766765">
        <w:tc>
          <w:tcPr>
            <w:tcW w:w="8784" w:type="dxa"/>
          </w:tcPr>
          <w:p w14:paraId="3C641F74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>Job purpose</w:t>
            </w:r>
          </w:p>
        </w:tc>
      </w:tr>
      <w:tr w:rsidR="00CA4D1C" w:rsidRPr="00766765" w14:paraId="13FEF2E0" w14:textId="77777777" w:rsidTr="00766765">
        <w:tc>
          <w:tcPr>
            <w:tcW w:w="8784" w:type="dxa"/>
          </w:tcPr>
          <w:p w14:paraId="4EC73A65" w14:textId="158CEB38" w:rsidR="000563F6" w:rsidRPr="00766765" w:rsidRDefault="000563F6" w:rsidP="000563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To organise, prepare-for, maintain and run our Chemistry teaching laboratories.  To support our academic teaching team who lead undergraduate laboratory classes.  To predominantly support our </w:t>
            </w:r>
            <w:r w:rsidR="000A0AC5">
              <w:rPr>
                <w:rFonts w:asciiTheme="minorHAnsi" w:hAnsiTheme="minorHAnsi" w:cstheme="minorHAnsi"/>
                <w:sz w:val="22"/>
                <w:szCs w:val="22"/>
              </w:rPr>
              <w:t>Synthetic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laboratory while providing support and cover for our </w:t>
            </w:r>
            <w:r w:rsidR="000A0AC5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  <w:r w:rsidR="00620473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teaching laboratory.  To work with the </w:t>
            </w:r>
            <w:r w:rsidRPr="00E1678C">
              <w:rPr>
                <w:rFonts w:asciiTheme="minorHAnsi" w:hAnsiTheme="minorHAnsi" w:cstheme="minorHAnsi"/>
                <w:sz w:val="22"/>
                <w:szCs w:val="22"/>
              </w:rPr>
              <w:t xml:space="preserve">Teaching </w:t>
            </w:r>
            <w:r w:rsidR="00900B62" w:rsidRPr="00E1678C">
              <w:rPr>
                <w:rFonts w:asciiTheme="minorHAnsi" w:hAnsiTheme="minorHAnsi" w:cstheme="minorHAnsi"/>
                <w:sz w:val="22"/>
                <w:szCs w:val="22"/>
              </w:rPr>
              <w:t xml:space="preserve">Technical </w:t>
            </w:r>
            <w:r w:rsidRPr="00E1678C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, Technical Supervisors and Technical Manager who are responsible for teaching, research and Health and Safety support for the Chemistry Department. </w:t>
            </w:r>
          </w:p>
          <w:p w14:paraId="5FD979FB" w14:textId="4B92E33C" w:rsidR="00CA4D1C" w:rsidRPr="00766765" w:rsidRDefault="003A1745" w:rsidP="00274B34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To ensure that practical classes are </w:t>
            </w:r>
            <w:r w:rsidR="0075720A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prepared for in advance, 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run in an efficient manner and </w:t>
            </w:r>
            <w:r w:rsidR="0075720A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>health and safety compliance</w:t>
            </w:r>
            <w:r w:rsidR="0075720A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a priority.  To ensure that the correct kit and consumables are </w:t>
            </w:r>
            <w:r w:rsidR="004B3AD3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ready, 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prepared/ available for practical classes.  To problem solve when instrumentation and kit are concerned.  To assist with practical development </w:t>
            </w:r>
            <w:r w:rsidR="0075720A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and problem solving 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>where necessary.</w:t>
            </w:r>
            <w:r w:rsidR="00620473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 To communicate effectively where planning, preparation and running of classes is concerned.</w:t>
            </w:r>
          </w:p>
          <w:p w14:paraId="35297F21" w14:textId="77777777" w:rsidR="00CD4420" w:rsidRPr="00766765" w:rsidRDefault="00CD4420" w:rsidP="00CD4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845B4" w14:textId="77777777" w:rsidR="00CA4D1C" w:rsidRPr="00766765" w:rsidRDefault="00CA4D1C" w:rsidP="00083B74">
      <w:pPr>
        <w:rPr>
          <w:rFonts w:asciiTheme="minorHAnsi" w:hAnsiTheme="minorHAnsi" w:cstheme="minorHAnsi"/>
          <w:sz w:val="23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CA4D1C" w:rsidRPr="00766765" w14:paraId="5F9270B0" w14:textId="77777777" w:rsidTr="00766765">
        <w:tc>
          <w:tcPr>
            <w:tcW w:w="8784" w:type="dxa"/>
          </w:tcPr>
          <w:p w14:paraId="5656EB6C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766765" w14:paraId="5CDBAAA5" w14:textId="77777777" w:rsidTr="00766765">
        <w:tc>
          <w:tcPr>
            <w:tcW w:w="8784" w:type="dxa"/>
          </w:tcPr>
          <w:p w14:paraId="056CDC39" w14:textId="232B6FF4" w:rsidR="004B3AD3" w:rsidRPr="00766765" w:rsidRDefault="004B3AD3" w:rsidP="001C2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Chemistry </w:t>
            </w:r>
            <w:r w:rsidR="0075720A" w:rsidRPr="00766765">
              <w:rPr>
                <w:rFonts w:asciiTheme="minorHAnsi" w:hAnsiTheme="minorHAnsi" w:cstheme="minorHAnsi"/>
                <w:sz w:val="22"/>
                <w:szCs w:val="22"/>
              </w:rPr>
              <w:t>Technical</w:t>
            </w: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Supervisor</w:t>
            </w:r>
            <w:r w:rsidR="004675DF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052B4D" w:rsidRPr="00766765">
              <w:rPr>
                <w:rFonts w:asciiTheme="minorHAnsi" w:hAnsiTheme="minorHAnsi" w:cstheme="minorHAnsi"/>
                <w:sz w:val="22"/>
                <w:szCs w:val="22"/>
              </w:rPr>
              <w:t xml:space="preserve"> Technical Manager.</w:t>
            </w:r>
          </w:p>
          <w:p w14:paraId="3C49234A" w14:textId="77777777" w:rsidR="00CD4420" w:rsidRPr="00766765" w:rsidRDefault="00CD4420" w:rsidP="001C27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2E50D5" w14:textId="77777777" w:rsidR="00CA4D1C" w:rsidRPr="00766765" w:rsidRDefault="00CA4D1C" w:rsidP="00083B74">
      <w:pPr>
        <w:rPr>
          <w:rFonts w:asciiTheme="minorHAnsi" w:hAnsiTheme="minorHAnsi" w:cstheme="minorHAnsi"/>
          <w:sz w:val="23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CA4D1C" w:rsidRPr="00766765" w14:paraId="2B9B421F" w14:textId="77777777" w:rsidTr="00766765">
        <w:tc>
          <w:tcPr>
            <w:tcW w:w="8784" w:type="dxa"/>
          </w:tcPr>
          <w:p w14:paraId="75DFF3DC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766765" w14:paraId="30EC6E87" w14:textId="77777777" w:rsidTr="00766765">
        <w:tc>
          <w:tcPr>
            <w:tcW w:w="8784" w:type="dxa"/>
          </w:tcPr>
          <w:p w14:paraId="24372880" w14:textId="164B974E" w:rsidR="00CA4D1C" w:rsidRPr="00766765" w:rsidRDefault="008F1EB4" w:rsidP="00083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A45E9" w:rsidRPr="0076676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73196960" w14:textId="77777777" w:rsidR="00CA4D1C" w:rsidRPr="00766765" w:rsidRDefault="00CA4D1C" w:rsidP="00083B74">
            <w:pPr>
              <w:rPr>
                <w:rFonts w:asciiTheme="minorHAnsi" w:hAnsiTheme="minorHAnsi" w:cstheme="minorHAnsi"/>
                <w:i/>
                <w:sz w:val="23"/>
              </w:rPr>
            </w:pPr>
          </w:p>
        </w:tc>
      </w:tr>
    </w:tbl>
    <w:p w14:paraId="7959052F" w14:textId="77777777" w:rsidR="00906293" w:rsidRPr="00766765" w:rsidRDefault="00906293" w:rsidP="00083B74">
      <w:pPr>
        <w:rPr>
          <w:rFonts w:asciiTheme="minorHAnsi" w:hAnsiTheme="minorHAnsi" w:cstheme="minorHAnsi"/>
          <w:sz w:val="23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CA4D1C" w:rsidRPr="00766765" w14:paraId="257D82C8" w14:textId="77777777" w:rsidTr="00766765">
        <w:tc>
          <w:tcPr>
            <w:tcW w:w="8784" w:type="dxa"/>
          </w:tcPr>
          <w:p w14:paraId="6728DB9A" w14:textId="77777777" w:rsidR="00CA4D1C" w:rsidRPr="00766765" w:rsidRDefault="00CA4D1C" w:rsidP="00083B74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766765">
              <w:rPr>
                <w:rFonts w:asciiTheme="minorHAnsi" w:hAnsiTheme="minorHAnsi" w:cstheme="minorHAnsi"/>
                <w:b/>
                <w:sz w:val="23"/>
                <w:szCs w:val="22"/>
              </w:rPr>
              <w:t xml:space="preserve">Special conditions </w:t>
            </w:r>
          </w:p>
        </w:tc>
      </w:tr>
      <w:tr w:rsidR="00CA4D1C" w:rsidRPr="00766765" w14:paraId="20DF5B51" w14:textId="77777777" w:rsidTr="00766765">
        <w:tc>
          <w:tcPr>
            <w:tcW w:w="8784" w:type="dxa"/>
          </w:tcPr>
          <w:p w14:paraId="677402F1" w14:textId="77777777" w:rsidR="00F70C6F" w:rsidRPr="00766765" w:rsidRDefault="00F70C6F" w:rsidP="00F70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6765">
              <w:rPr>
                <w:rFonts w:asciiTheme="minorHAnsi" w:hAnsiTheme="minorHAnsi" w:cstheme="minorHAnsi"/>
                <w:sz w:val="22"/>
                <w:szCs w:val="22"/>
              </w:rPr>
              <w:t>Flexible working with occasional early starts and/or late finishes. Occasional weekend working may be required.</w:t>
            </w:r>
          </w:p>
          <w:p w14:paraId="68A1C3BF" w14:textId="77777777" w:rsidR="00CA4D1C" w:rsidRPr="00766765" w:rsidRDefault="00CA4D1C" w:rsidP="00191970">
            <w:pPr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</w:tbl>
    <w:p w14:paraId="2B48740F" w14:textId="597D7ADF" w:rsidR="006C4A25" w:rsidRDefault="006C4A25" w:rsidP="006C4A25">
      <w:pPr>
        <w:rPr>
          <w:rFonts w:asciiTheme="minorHAnsi" w:hAnsiTheme="minorHAnsi" w:cstheme="minorHAnsi"/>
          <w:sz w:val="23"/>
        </w:rPr>
      </w:pPr>
    </w:p>
    <w:p w14:paraId="3DDFB353" w14:textId="49EF49B9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7BEC1E7D" w14:textId="2C5A8AE9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288FDCE5" w14:textId="321A0546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2B491E3B" w14:textId="2F198212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009FAEB4" w14:textId="08FDF1C8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11313697" w14:textId="2807EEEC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5365AE6F" w14:textId="7EE1C095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35A61DFF" w14:textId="40D9A1DE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7823A081" w14:textId="77777777" w:rsidR="005E625C" w:rsidRPr="00766765" w:rsidRDefault="005E625C" w:rsidP="006C4A25">
      <w:pPr>
        <w:rPr>
          <w:rFonts w:asciiTheme="minorHAnsi" w:hAnsiTheme="minorHAnsi" w:cstheme="minorHAnsi"/>
          <w:sz w:val="23"/>
        </w:rPr>
      </w:pPr>
    </w:p>
    <w:p w14:paraId="3058AE02" w14:textId="5C917494" w:rsidR="006C4A25" w:rsidRDefault="006C4A25" w:rsidP="006C4A25">
      <w:pPr>
        <w:rPr>
          <w:rFonts w:asciiTheme="minorHAnsi" w:hAnsiTheme="minorHAnsi" w:cstheme="minorHAnsi"/>
          <w:sz w:val="23"/>
        </w:rPr>
      </w:pPr>
    </w:p>
    <w:p w14:paraId="5332339F" w14:textId="77777777" w:rsidR="005E625C" w:rsidRDefault="005E625C" w:rsidP="006C4A25">
      <w:pPr>
        <w:rPr>
          <w:rFonts w:asciiTheme="minorHAnsi" w:hAnsiTheme="minorHAnsi" w:cstheme="minorHAnsi"/>
          <w:sz w:val="23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6476"/>
      </w:tblGrid>
      <w:tr w:rsidR="005E625C" w:rsidRPr="00766765" w14:paraId="65E16E62" w14:textId="77777777" w:rsidTr="00496DC6">
        <w:tc>
          <w:tcPr>
            <w:tcW w:w="8784" w:type="dxa"/>
            <w:gridSpan w:val="2"/>
          </w:tcPr>
          <w:p w14:paraId="43D53866" w14:textId="0C8A4E32" w:rsidR="005E625C" w:rsidRPr="00766765" w:rsidRDefault="005E625C" w:rsidP="005E625C">
            <w:pPr>
              <w:rPr>
                <w:rFonts w:asciiTheme="minorHAnsi" w:hAnsiTheme="minorHAnsi" w:cstheme="minorHAnsi"/>
                <w:b/>
                <w:sz w:val="23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>Main duties and responsibilities</w:t>
            </w:r>
          </w:p>
        </w:tc>
      </w:tr>
      <w:tr w:rsidR="005E625C" w:rsidRPr="00766765" w14:paraId="19FF34A6" w14:textId="77777777" w:rsidTr="00E37AA8">
        <w:trPr>
          <w:trHeight w:val="8079"/>
        </w:trPr>
        <w:tc>
          <w:tcPr>
            <w:tcW w:w="8784" w:type="dxa"/>
            <w:gridSpan w:val="2"/>
          </w:tcPr>
          <w:p w14:paraId="7B5AA68B" w14:textId="69242014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eaching Support:  </w:t>
            </w: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 xml:space="preserve">Work with the Technical Team and academic staff to ensure timely and efficient preparation and delivery of the undergraduate programs.  Communicate effectively with and provide </w:t>
            </w:r>
            <w:r w:rsidR="006F38DA">
              <w:rPr>
                <w:rFonts w:asciiTheme="minorHAnsi" w:hAnsiTheme="minorHAnsi" w:cstheme="minorHAnsi"/>
                <w:sz w:val="22"/>
                <w:szCs w:val="22"/>
              </w:rPr>
              <w:t>guidance</w:t>
            </w: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 xml:space="preserve"> and support to demonstrators on procedures, </w:t>
            </w:r>
            <w:proofErr w:type="gramStart"/>
            <w:r w:rsidRPr="00634F36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proofErr w:type="gramEnd"/>
            <w:r w:rsidRPr="00634F36">
              <w:rPr>
                <w:rFonts w:asciiTheme="minorHAnsi" w:hAnsiTheme="minorHAnsi" w:cstheme="minorHAnsi"/>
                <w:sz w:val="22"/>
                <w:szCs w:val="22"/>
              </w:rPr>
              <w:t xml:space="preserve"> and kit.  Work with academic and technical staff in the design and preparation of new experiments.  </w:t>
            </w:r>
          </w:p>
          <w:p w14:paraId="5FB41762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F1F23B" w14:textId="16ECB58A" w:rsidR="005E625C" w:rsidRDefault="005E625C" w:rsidP="005E6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Laboratories:  </w:t>
            </w: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 xml:space="preserve">Work with Technical Supervisors to provide support to those working in research laboratories.  This may include laboratory clear-outs, contributing to H&amp;S matters, equipment/ asset registers and equipment sourcing/ set-up.  You may be asked to be trained on, contribute to writing SOPs and to run analytical instrumentation.  </w:t>
            </w:r>
          </w:p>
          <w:p w14:paraId="602D21DE" w14:textId="77777777" w:rsidR="00220A66" w:rsidRDefault="00220A66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4B4855" w14:textId="5E4A9920" w:rsidR="00220A66" w:rsidRDefault="00220A66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Outreach events: </w:t>
            </w:r>
            <w:r w:rsidRPr="00E1678C">
              <w:rPr>
                <w:rFonts w:asciiTheme="minorHAnsi" w:hAnsiTheme="minorHAnsi" w:cstheme="minorHAnsi"/>
                <w:bCs/>
                <w:sz w:val="22"/>
                <w:szCs w:val="22"/>
              </w:rPr>
              <w:t>Co</w:t>
            </w:r>
            <w:r w:rsidRPr="00E1678C">
              <w:rPr>
                <w:rFonts w:asciiTheme="minorHAnsi" w:hAnsiTheme="minorHAnsi" w:cstheme="minorHAnsi"/>
                <w:sz w:val="22"/>
                <w:szCs w:val="22"/>
              </w:rPr>
              <w:t>mmunicate effectively with the appropriate members of staff in a timely manner to prepare for and set up practical session for outreach activities. During session, help support and guide young people to understand and conduct the experiment safely.</w:t>
            </w:r>
          </w:p>
          <w:p w14:paraId="4EE67CED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53727A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and Safety:  </w:t>
            </w:r>
            <w:r w:rsidRPr="00634F36">
              <w:rPr>
                <w:rFonts w:asciiTheme="minorHAnsi" w:hAnsiTheme="minorHAnsi" w:cstheme="minorHAnsi"/>
                <w:bCs/>
                <w:sz w:val="22"/>
                <w:szCs w:val="22"/>
              </w:rPr>
              <w:t>Co</w:t>
            </w: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>mmunicate effectively with the appropriate members of staff and ensure that all activities are taking place safely and are running to the correct procedure.</w:t>
            </w:r>
          </w:p>
          <w:p w14:paraId="4B5B9F1E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F411DA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Laboratory Organisation:  </w:t>
            </w:r>
            <w:r w:rsidRPr="00634F36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 xml:space="preserve">aintain a professionally presented workspace, </w:t>
            </w:r>
            <w:proofErr w:type="gramStart"/>
            <w:r w:rsidRPr="00634F36">
              <w:rPr>
                <w:rFonts w:asciiTheme="minorHAnsi" w:hAnsiTheme="minorHAnsi" w:cstheme="minorHAnsi"/>
                <w:sz w:val="22"/>
                <w:szCs w:val="22"/>
              </w:rPr>
              <w:t>with regard to</w:t>
            </w:r>
            <w:proofErr w:type="gramEnd"/>
            <w:r w:rsidRPr="00634F36">
              <w:rPr>
                <w:rFonts w:asciiTheme="minorHAnsi" w:hAnsiTheme="minorHAnsi" w:cstheme="minorHAnsi"/>
                <w:sz w:val="22"/>
                <w:szCs w:val="22"/>
              </w:rPr>
              <w:t xml:space="preserve"> cleanliness and consumable/ equipment organisation.  Perform regular compliance checks, including for compressed gases and their associated fixings and cryogens. </w:t>
            </w:r>
          </w:p>
          <w:p w14:paraId="725D8466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AD43B4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Hazardous Waste: </w:t>
            </w:r>
            <w:r w:rsidRPr="00634F36">
              <w:rPr>
                <w:rFonts w:asciiTheme="minorHAnsi" w:hAnsiTheme="minorHAnsi" w:cstheme="minorHAnsi"/>
                <w:bCs/>
                <w:sz w:val="22"/>
                <w:szCs w:val="22"/>
              </w:rPr>
              <w:t>Corre</w:t>
            </w: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 xml:space="preserve">ct disposal and signposting/ communication for all hazardous waste streams under the direction of senior team members. Ensure the safe storage of and disposal procedures for all chemicals and their associated waste streams.  </w:t>
            </w:r>
          </w:p>
          <w:p w14:paraId="7A0B1399" w14:textId="77777777" w:rsidR="005E625C" w:rsidRPr="00634F36" w:rsidRDefault="005E625C" w:rsidP="005E62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FBD22A" w14:textId="77777777" w:rsidR="005E625C" w:rsidRPr="00634F36" w:rsidRDefault="005E625C" w:rsidP="005E62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 Sharing:  </w:t>
            </w:r>
            <w:r w:rsidRPr="00634F36">
              <w:rPr>
                <w:rFonts w:asciiTheme="minorHAnsi" w:hAnsiTheme="minorHAnsi" w:cstheme="minorHAnsi"/>
                <w:bCs/>
                <w:sz w:val="22"/>
                <w:szCs w:val="22"/>
              </w:rPr>
              <w:t>Demonstrate procedures to other members of the team on areas of expertise/ responsibility.</w:t>
            </w:r>
          </w:p>
          <w:p w14:paraId="78BA5937" w14:textId="77777777" w:rsidR="005E625C" w:rsidRPr="00634F36" w:rsidRDefault="005E625C" w:rsidP="005E62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A0699" w14:textId="77777777" w:rsidR="005E625C" w:rsidRDefault="005E625C" w:rsidP="005E62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duties described above will take place in the </w:t>
            </w:r>
            <w:proofErr w:type="spellStart"/>
            <w:r w:rsidRPr="00634F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FoS</w:t>
            </w:r>
            <w:proofErr w:type="spellEnd"/>
            <w:r w:rsidRPr="00634F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Departments and buildings; mainly in 1, 3, 4 South and the Milner Centre.  You will (from time to time) be required to undertake other duties of a similar nature as reasonably required by your line manager. Training will be provided.</w:t>
            </w:r>
          </w:p>
          <w:p w14:paraId="08F7803C" w14:textId="0EF82041" w:rsidR="005E625C" w:rsidRPr="00766765" w:rsidRDefault="005E625C" w:rsidP="005E625C">
            <w:pPr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5E625C" w:rsidRPr="00634F36" w14:paraId="5F260125" w14:textId="77777777" w:rsidTr="00496D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08" w:type="dxa"/>
            <w:tcBorders>
              <w:bottom w:val="single" w:sz="4" w:space="0" w:color="D9D9D9" w:themeColor="background1" w:themeShade="D9"/>
            </w:tcBorders>
          </w:tcPr>
          <w:p w14:paraId="0B482608" w14:textId="77777777" w:rsidR="005E625C" w:rsidRPr="00634F36" w:rsidRDefault="005E625C" w:rsidP="005E625C">
            <w:pPr>
              <w:widowControl w:val="0"/>
              <w:numPr>
                <w:ilvl w:val="0"/>
                <w:numId w:val="10"/>
              </w:numPr>
              <w:ind w:left="306" w:hanging="306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>People</w:t>
            </w:r>
          </w:p>
        </w:tc>
        <w:tc>
          <w:tcPr>
            <w:tcW w:w="6476" w:type="dxa"/>
            <w:tcBorders>
              <w:bottom w:val="single" w:sz="4" w:space="0" w:color="D9D9D9" w:themeColor="background1" w:themeShade="D9"/>
            </w:tcBorders>
          </w:tcPr>
          <w:p w14:paraId="69E7B4FB" w14:textId="77777777" w:rsidR="005E625C" w:rsidRPr="00634F36" w:rsidRDefault="005E625C" w:rsidP="005E62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role holder will: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916E43C" w14:textId="77777777" w:rsidR="005E625C" w:rsidRPr="00634F36" w:rsidRDefault="005E625C" w:rsidP="005E62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Maintain and manage their personal development plan with the support of their line manager.</w:t>
            </w:r>
          </w:p>
          <w:p w14:paraId="7E3ED6F1" w14:textId="77777777" w:rsidR="005E625C" w:rsidRPr="00634F36" w:rsidRDefault="005E625C" w:rsidP="005E62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>Proactively engage with relevant CPD opportunities.</w:t>
            </w:r>
          </w:p>
          <w:p w14:paraId="4BC8D336" w14:textId="77777777" w:rsidR="005E625C" w:rsidRPr="00634F36" w:rsidRDefault="005E625C" w:rsidP="005E62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expertise.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25B9B9A" w14:textId="77777777" w:rsidR="005E625C" w:rsidRPr="00634F36" w:rsidRDefault="005E625C" w:rsidP="005E625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>Share their knowledge and understanding of area of expertise within the team by proactively engaging with and contributing to discussions during team meetings.</w:t>
            </w:r>
          </w:p>
          <w:p w14:paraId="3F6D4CBF" w14:textId="77777777" w:rsidR="005E625C" w:rsidRPr="00634F36" w:rsidRDefault="005E625C" w:rsidP="005E625C">
            <w:pPr>
              <w:widowControl w:val="0"/>
              <w:ind w:left="36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625C" w:rsidRPr="00634F36" w14:paraId="75351295" w14:textId="77777777" w:rsidTr="00496D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0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06C667" w14:textId="77777777" w:rsidR="005E625C" w:rsidRPr="00634F36" w:rsidRDefault="005E625C" w:rsidP="005E625C">
            <w:pPr>
              <w:widowControl w:val="0"/>
              <w:numPr>
                <w:ilvl w:val="0"/>
                <w:numId w:val="10"/>
              </w:numPr>
              <w:ind w:left="306" w:hanging="306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Service Delivery</w:t>
            </w:r>
          </w:p>
        </w:tc>
        <w:tc>
          <w:tcPr>
            <w:tcW w:w="64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F62EB7" w14:textId="77777777" w:rsidR="005E625C" w:rsidRPr="00634F36" w:rsidRDefault="005E625C" w:rsidP="005E62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role holder will: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56AFF64" w14:textId="77777777" w:rsidR="005E625C" w:rsidRPr="00634F36" w:rsidRDefault="005E625C" w:rsidP="005E625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Provide inductions and training to staff and students in the safe use and basic operation of equipment.</w:t>
            </w:r>
          </w:p>
          <w:p w14:paraId="64D48228" w14:textId="77777777" w:rsidR="005E625C" w:rsidRPr="00634F36" w:rsidRDefault="005E625C" w:rsidP="005E625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 for and prepare materials/equipment for teaching &amp; research activities.</w:t>
            </w:r>
          </w:p>
          <w:p w14:paraId="479228C6" w14:textId="77777777" w:rsidR="005E625C" w:rsidRPr="00634F36" w:rsidRDefault="005E625C" w:rsidP="005E625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Ensure support for Departmental communal teaching and research facilities. </w:t>
            </w:r>
          </w:p>
          <w:p w14:paraId="4D331184" w14:textId="77777777" w:rsidR="005E625C" w:rsidRPr="00634F36" w:rsidRDefault="005E625C" w:rsidP="005E625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Carry out further duties as appropriate or instructed within area of support.</w:t>
            </w:r>
            <w:r w:rsidRPr="00634F36" w:rsidDel="00A0619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33C9C6" w14:textId="77777777" w:rsidR="005E625C" w:rsidRPr="00634F36" w:rsidRDefault="005E625C" w:rsidP="005E625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Provide technical support for experimental &amp; project work, including undergraduate projects.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CD07C15" w14:textId="77777777" w:rsidR="005E625C" w:rsidRPr="00634F36" w:rsidRDefault="005E625C" w:rsidP="005E625C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E625C" w:rsidRPr="00634F36" w14:paraId="6D1154AA" w14:textId="77777777" w:rsidTr="00496D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0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16DFFC" w14:textId="77777777" w:rsidR="005E625C" w:rsidRPr="00634F36" w:rsidRDefault="005E625C" w:rsidP="005E625C">
            <w:pPr>
              <w:widowControl w:val="0"/>
              <w:numPr>
                <w:ilvl w:val="0"/>
                <w:numId w:val="10"/>
              </w:numPr>
              <w:ind w:left="306" w:hanging="306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>Facilities &amp; Resources</w:t>
            </w:r>
          </w:p>
        </w:tc>
        <w:tc>
          <w:tcPr>
            <w:tcW w:w="64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9B71C8" w14:textId="77777777" w:rsidR="005E625C" w:rsidRPr="00634F36" w:rsidRDefault="005E625C" w:rsidP="005E62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Within their area of specialism, the role holder is responsible for: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E68D813" w14:textId="77777777" w:rsidR="005E625C" w:rsidRPr="00634F36" w:rsidRDefault="005E625C" w:rsidP="005E625C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Ensuring instrumentation and equipment are maintained and in good repair, with the associated paperwork audit/certification kept up to date.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736499C" w14:textId="77777777" w:rsidR="005E625C" w:rsidRPr="00634F36" w:rsidRDefault="005E625C" w:rsidP="005E625C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Monitoring and coordination of stock, layout and clearing up of any kit/equipment/consumables. </w:t>
            </w:r>
          </w:p>
          <w:p w14:paraId="78B2D769" w14:textId="77777777" w:rsidR="005E625C" w:rsidRPr="00634F36" w:rsidRDefault="005E625C" w:rsidP="005E625C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[Assist with] Audits of assets, </w:t>
            </w:r>
            <w:proofErr w:type="gramStart"/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materials</w:t>
            </w:r>
            <w:proofErr w:type="gramEnd"/>
            <w:r w:rsidRPr="00634F3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storage arrangements of higher risk hazards and/or parts associated with equipment/instrumentation.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FFECD27" w14:textId="77777777" w:rsidR="005E625C" w:rsidRPr="00634F36" w:rsidRDefault="005E625C" w:rsidP="005E625C">
            <w:pPr>
              <w:widowControl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E625C" w:rsidRPr="00634F36" w14:paraId="60B29997" w14:textId="77777777" w:rsidTr="00496D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0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E9F591" w14:textId="77777777" w:rsidR="005E625C" w:rsidRPr="00634F36" w:rsidRDefault="005E625C" w:rsidP="005E625C">
            <w:pPr>
              <w:widowControl w:val="0"/>
              <w:numPr>
                <w:ilvl w:val="0"/>
                <w:numId w:val="10"/>
              </w:numPr>
              <w:ind w:left="306" w:hanging="306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>Compliance</w:t>
            </w:r>
          </w:p>
        </w:tc>
        <w:tc>
          <w:tcPr>
            <w:tcW w:w="64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7EA699" w14:textId="77777777" w:rsidR="005E625C" w:rsidRPr="00634F36" w:rsidRDefault="005E625C" w:rsidP="005E6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34F36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The role holder is responsible for: </w:t>
            </w:r>
          </w:p>
          <w:p w14:paraId="03CA1D25" w14:textId="77777777" w:rsidR="005E625C" w:rsidRPr="00634F36" w:rsidRDefault="005E625C" w:rsidP="005E625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Maintaining up to date knowledge of health and safety practice/legislation </w:t>
            </w:r>
            <w:proofErr w:type="gramStart"/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in order to</w:t>
            </w:r>
            <w:proofErr w:type="gramEnd"/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provide a safe and effective technical service.</w:t>
            </w:r>
          </w:p>
          <w:p w14:paraId="7BCCB495" w14:textId="77777777" w:rsidR="005E625C" w:rsidRPr="00634F36" w:rsidRDefault="005E625C" w:rsidP="005E625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sz w:val="22"/>
                <w:szCs w:val="22"/>
              </w:rPr>
              <w:t>Drafting original risk assessments and Standard Operating Procedures (SOPs) for area of responsibility, including for new processes.</w:t>
            </w:r>
          </w:p>
          <w:p w14:paraId="7738B568" w14:textId="77777777" w:rsidR="005E625C" w:rsidRPr="00634F36" w:rsidRDefault="005E625C" w:rsidP="005E625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Proactively ensure that any functionality and safety issues are appropriately addressed within their area by self and others. 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5944B98" w14:textId="77777777" w:rsidR="005E625C" w:rsidRPr="00634F36" w:rsidRDefault="005E625C" w:rsidP="005E625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Ensuring that records are maintained and updated to demonstrate compliance with departmental/University policy and health and safety </w:t>
            </w:r>
            <w:proofErr w:type="gramStart"/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regulations</w:t>
            </w:r>
            <w:proofErr w:type="gramEnd"/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524E6F4" w14:textId="77777777" w:rsidR="005E625C" w:rsidRPr="00634F36" w:rsidRDefault="005E625C" w:rsidP="005E625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Engag</w:t>
            </w:r>
            <w:r w:rsidRPr="00634F36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</w:t>
            </w: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with relevant specialists as necessary and </w:t>
            </w:r>
            <w:r w:rsidRPr="00634F36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demonstrating and encouraging good health and safety practice.</w:t>
            </w:r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3BCE539" w14:textId="77777777" w:rsidR="005E625C" w:rsidRPr="00634F36" w:rsidRDefault="005E625C" w:rsidP="005E625C">
            <w:pPr>
              <w:widowControl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E625C" w:rsidRPr="00634F36" w14:paraId="6EE1EB41" w14:textId="77777777" w:rsidTr="00496D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0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BB268C" w14:textId="77777777" w:rsidR="005E625C" w:rsidRPr="00634F36" w:rsidRDefault="005E625C" w:rsidP="005E625C">
            <w:pPr>
              <w:widowControl w:val="0"/>
              <w:numPr>
                <w:ilvl w:val="0"/>
                <w:numId w:val="10"/>
              </w:numPr>
              <w:ind w:left="306" w:hanging="306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F36">
              <w:rPr>
                <w:rFonts w:asciiTheme="minorHAnsi" w:hAnsiTheme="minorHAnsi" w:cstheme="minorHAnsi"/>
                <w:b/>
                <w:sz w:val="22"/>
                <w:szCs w:val="22"/>
              </w:rPr>
              <w:t>Stakeholder Management</w:t>
            </w:r>
          </w:p>
        </w:tc>
        <w:tc>
          <w:tcPr>
            <w:tcW w:w="64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C2A9E5" w14:textId="77777777" w:rsidR="005E625C" w:rsidRPr="00634F36" w:rsidRDefault="005E625C" w:rsidP="005E6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34F36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The role holder will: </w:t>
            </w:r>
          </w:p>
          <w:p w14:paraId="42FC7249" w14:textId="77777777" w:rsidR="005E625C" w:rsidRPr="00634F36" w:rsidRDefault="005E625C" w:rsidP="005E625C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Act as a contact point for service engineers/contractors/Estates, supporting the resolution of technical issues or incidents within their area of </w:t>
            </w:r>
            <w:proofErr w:type="gramStart"/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work</w:t>
            </w:r>
            <w:proofErr w:type="gramEnd"/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9B927EB" w14:textId="77777777" w:rsidR="005E625C" w:rsidRPr="00634F36" w:rsidRDefault="005E625C" w:rsidP="005E625C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Communicate effectively with team members, demonstrators, students, academics, and others in delivery of </w:t>
            </w:r>
            <w:proofErr w:type="gramStart"/>
            <w:r w:rsidRPr="00634F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service</w:t>
            </w:r>
            <w:proofErr w:type="gramEnd"/>
            <w:r w:rsidRPr="00634F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F3D548F" w14:textId="77777777" w:rsidR="005E625C" w:rsidRPr="00634F36" w:rsidRDefault="005E625C" w:rsidP="005E62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EA09A7" w14:textId="768131A4" w:rsidR="00766765" w:rsidRDefault="00766765" w:rsidP="006C4A25">
      <w:pPr>
        <w:rPr>
          <w:rFonts w:asciiTheme="minorHAnsi" w:hAnsiTheme="minorHAnsi" w:cstheme="minorHAnsi"/>
          <w:sz w:val="23"/>
        </w:rPr>
      </w:pPr>
    </w:p>
    <w:p w14:paraId="555A68F2" w14:textId="0878FC3C" w:rsidR="00766765" w:rsidRDefault="00766765" w:rsidP="006C4A25">
      <w:pPr>
        <w:rPr>
          <w:rFonts w:asciiTheme="minorHAnsi" w:hAnsiTheme="minorHAnsi" w:cstheme="minorHAnsi"/>
          <w:sz w:val="23"/>
        </w:rPr>
      </w:pPr>
    </w:p>
    <w:p w14:paraId="247147FD" w14:textId="28E3859C" w:rsidR="00766765" w:rsidRDefault="00766765" w:rsidP="006C4A25">
      <w:pPr>
        <w:rPr>
          <w:rFonts w:asciiTheme="minorHAnsi" w:hAnsiTheme="minorHAnsi" w:cstheme="minorHAnsi"/>
          <w:sz w:val="23"/>
        </w:rPr>
      </w:pPr>
    </w:p>
    <w:p w14:paraId="3B897D33" w14:textId="2494EAF7" w:rsidR="00766765" w:rsidRDefault="00766765" w:rsidP="006C4A25">
      <w:pPr>
        <w:rPr>
          <w:rFonts w:asciiTheme="minorHAnsi" w:hAnsiTheme="minorHAnsi" w:cstheme="minorHAnsi"/>
          <w:sz w:val="23"/>
        </w:rPr>
      </w:pPr>
    </w:p>
    <w:p w14:paraId="22CC3B8F" w14:textId="10159167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2677D597" w14:textId="5E49CC08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5025485D" w14:textId="4156027C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4F510D82" w14:textId="77777777" w:rsidR="005E625C" w:rsidRPr="005E625C" w:rsidRDefault="005E625C" w:rsidP="005E625C">
      <w:pPr>
        <w:jc w:val="center"/>
        <w:textAlignment w:val="baseline"/>
        <w:rPr>
          <w:rFonts w:asciiTheme="minorHAnsi" w:hAnsiTheme="minorHAnsi" w:cstheme="minorHAnsi"/>
          <w:sz w:val="24"/>
          <w:szCs w:val="24"/>
          <w:lang w:eastAsia="en-GB"/>
        </w:rPr>
      </w:pPr>
      <w:r w:rsidRPr="005E625C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Person Specification</w:t>
      </w:r>
      <w:r w:rsidRPr="005E625C">
        <w:rPr>
          <w:rFonts w:asciiTheme="minorHAnsi" w:hAnsiTheme="minorHAnsi" w:cstheme="minorHAnsi"/>
          <w:sz w:val="24"/>
          <w:szCs w:val="24"/>
          <w:lang w:eastAsia="en-GB"/>
        </w:rPr>
        <w:t> </w:t>
      </w:r>
    </w:p>
    <w:p w14:paraId="738020CB" w14:textId="77777777" w:rsidR="005E625C" w:rsidRPr="00FD56FD" w:rsidRDefault="005E625C" w:rsidP="005E625C">
      <w:pPr>
        <w:jc w:val="center"/>
        <w:textAlignment w:val="baseline"/>
        <w:rPr>
          <w:sz w:val="24"/>
          <w:szCs w:val="24"/>
          <w:lang w:eastAsia="en-GB"/>
        </w:rPr>
      </w:pPr>
      <w:r w:rsidRPr="00FD56FD">
        <w:rPr>
          <w:rFonts w:ascii="Arial" w:hAnsi="Arial" w:cs="Arial"/>
          <w:lang w:eastAsia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985"/>
        <w:gridCol w:w="1843"/>
      </w:tblGrid>
      <w:tr w:rsidR="005E625C" w:rsidRPr="005E625C" w14:paraId="69A8CD5A" w14:textId="77777777" w:rsidTr="005E625C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5771385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Criteria:  Qualifications and Training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14348DE4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F341CA0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Essential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D3AF3D3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Desirable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5E625C" w:rsidRPr="005E625C" w14:paraId="111FF9D5" w14:textId="77777777" w:rsidTr="005E625C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ADE86" w14:textId="7FAD9949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Relevant </w:t>
            </w:r>
            <w:r w:rsidR="00753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degree (or equivalent) 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qualification</w:t>
            </w:r>
            <w:r w:rsidR="00753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or experience working in </w:t>
            </w:r>
            <w:r w:rsidR="00753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Chemistry.  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77293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E92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</w:tbl>
    <w:p w14:paraId="50EEF7C2" w14:textId="77777777" w:rsidR="005E625C" w:rsidRPr="005E625C" w:rsidRDefault="005E625C" w:rsidP="005E625C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5E625C">
        <w:rPr>
          <w:rFonts w:asciiTheme="minorHAnsi" w:hAnsiTheme="minorHAnsi" w:cstheme="minorHAnsi"/>
          <w:sz w:val="22"/>
          <w:szCs w:val="22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5E625C" w:rsidRPr="005E625C" w14:paraId="0D2DE4F6" w14:textId="77777777" w:rsidTr="00C651AC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A3A151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Criteria:  Knowledge and Experience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7270AA71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47A15E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Essential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0677C7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Desirable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5E625C" w:rsidRPr="005E625C" w14:paraId="3FD449C1" w14:textId="77777777" w:rsidTr="00496DC6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578C6" w14:textId="5911D1DF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 track record </w:t>
            </w:r>
            <w:r w:rsidR="00753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of supporting teaching, research or working in a technical role in Chemistry.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721BE" w14:textId="37904205" w:rsidR="005E625C" w:rsidRPr="005E625C" w:rsidRDefault="00753639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63963" w14:textId="19323E64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2939C8BF" w14:textId="77777777" w:rsidTr="00496DC6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E5332" w14:textId="08D4BE53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Demonstrable ability to examine, understand and assess relevant </w:t>
            </w:r>
            <w:r w:rsidR="00753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Chemistry related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information, </w:t>
            </w:r>
            <w:proofErr w:type="gramStart"/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concepts</w:t>
            </w:r>
            <w:proofErr w:type="gramEnd"/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and ideas and to suggest solutions to problems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A7615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10A6D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70EAC454" w14:textId="77777777" w:rsidTr="00496DC6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7165D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1B27E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97B45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56858F0A" w14:textId="77777777" w:rsidTr="00496DC6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AC88B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Promote and ensure the application of quality standards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C6A6A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B5055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4DFB9A50" w14:textId="77777777" w:rsidTr="00496DC6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D5B62" w14:textId="24FF5AB0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Experience of contributing to the scoping, planning and delivery of </w:t>
            </w:r>
            <w:r w:rsidR="007536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teaching or research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795E4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E3D1E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</w:tr>
      <w:tr w:rsidR="005E625C" w:rsidRPr="005E625C" w14:paraId="48103607" w14:textId="77777777" w:rsidTr="00496DC6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BD6EA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 track record of contributing to the design, </w:t>
            </w:r>
            <w:proofErr w:type="gramStart"/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development</w:t>
            </w:r>
            <w:proofErr w:type="gramEnd"/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and implementation of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09F69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02ECC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0D8CC07E" w14:textId="77777777" w:rsidTr="00496DC6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B897F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 demonstrable commitment to continuous personal professional development activities </w:t>
            </w:r>
            <w:r w:rsidRPr="005E62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through continuing advancement of own knowledge, understanding and competence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6C83F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CDD25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</w:tbl>
    <w:p w14:paraId="6BC15266" w14:textId="77777777" w:rsidR="005E625C" w:rsidRPr="005E625C" w:rsidRDefault="005E625C" w:rsidP="005E625C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5E625C">
        <w:rPr>
          <w:rFonts w:asciiTheme="minorHAnsi" w:hAnsiTheme="minorHAnsi" w:cstheme="minorHAnsi"/>
          <w:sz w:val="22"/>
          <w:szCs w:val="22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1980"/>
        <w:gridCol w:w="1980"/>
      </w:tblGrid>
      <w:tr w:rsidR="005E625C" w:rsidRPr="005E625C" w14:paraId="7A8B5CB3" w14:textId="77777777" w:rsidTr="00496DC6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2830ED5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Criteria: Skills and Aptitudes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28DD0448" w14:textId="77777777" w:rsidR="005E625C" w:rsidRPr="005E625C" w:rsidRDefault="005E625C" w:rsidP="00496DC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1F9FE38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Essential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E9A8FCC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Desirable</w:t>
            </w: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5E625C" w:rsidRPr="005E625C" w14:paraId="18575B04" w14:textId="77777777" w:rsidTr="00496DC6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025D4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Able to communicate effectively with a broad range of audiences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817F3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B8843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2C669577" w14:textId="77777777" w:rsidTr="00496DC6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B78C6" w14:textId="16B169CB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Good interpersonal and communication skills</w:t>
            </w:r>
            <w:r w:rsidR="00E167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. Engaging and enthusiastic with staff, </w:t>
            </w:r>
            <w:proofErr w:type="gramStart"/>
            <w:r w:rsidR="00E167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students</w:t>
            </w:r>
            <w:proofErr w:type="gramEnd"/>
            <w:r w:rsidR="00E167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and stakeholders</w:t>
            </w:r>
            <w:r w:rsidR="00CF4F6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53957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5B0A7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16C2E480" w14:textId="77777777" w:rsidTr="00496DC6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0C2CE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Able to establish and uphold productive working relationships and an ability to resolve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E621B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676A8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71C2ACE9" w14:textId="77777777" w:rsidTr="00496DC6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4B154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Able to work autonomously or as part of a team, and to modify practice as appropriate.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3D184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95AF2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5E625C" w:rsidRPr="005E625C" w14:paraId="36B5C993" w14:textId="77777777" w:rsidTr="00496DC6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04CEC" w14:textId="77777777" w:rsidR="005E625C" w:rsidRPr="005E625C" w:rsidRDefault="005E625C" w:rsidP="00496DC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3D153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243F5" w14:textId="77777777" w:rsidR="005E625C" w:rsidRPr="005E625C" w:rsidRDefault="005E625C" w:rsidP="00496DC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E625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√</w:t>
            </w:r>
          </w:p>
        </w:tc>
      </w:tr>
    </w:tbl>
    <w:p w14:paraId="7702CF63" w14:textId="77777777" w:rsidR="005E625C" w:rsidRPr="00FD56FD" w:rsidRDefault="005E625C" w:rsidP="005E625C">
      <w:pPr>
        <w:textAlignment w:val="baseline"/>
        <w:rPr>
          <w:sz w:val="24"/>
          <w:szCs w:val="24"/>
          <w:lang w:eastAsia="en-GB"/>
        </w:rPr>
      </w:pPr>
      <w:r w:rsidRPr="00FD56FD">
        <w:rPr>
          <w:rFonts w:ascii="Calibri" w:hAnsi="Calibri" w:cs="Calibri"/>
          <w:lang w:eastAsia="en-GB"/>
        </w:rPr>
        <w:t> </w:t>
      </w:r>
    </w:p>
    <w:p w14:paraId="41DAF1A4" w14:textId="77777777" w:rsidR="005E625C" w:rsidRPr="00FD56FD" w:rsidRDefault="005E625C" w:rsidP="005E625C">
      <w:pPr>
        <w:jc w:val="both"/>
        <w:textAlignment w:val="baseline"/>
        <w:rPr>
          <w:sz w:val="24"/>
          <w:szCs w:val="24"/>
          <w:lang w:eastAsia="en-GB"/>
        </w:rPr>
      </w:pPr>
      <w:r w:rsidRPr="00FD56FD">
        <w:rPr>
          <w:rFonts w:ascii="Arial" w:hAnsi="Arial" w:cs="Arial"/>
          <w:lang w:eastAsia="en-GB"/>
        </w:rPr>
        <w:t>  </w:t>
      </w:r>
    </w:p>
    <w:p w14:paraId="0774F0FB" w14:textId="77777777" w:rsidR="005E625C" w:rsidRPr="00F0446D" w:rsidRDefault="005E625C" w:rsidP="005E625C">
      <w:pPr>
        <w:jc w:val="both"/>
        <w:textAlignment w:val="baseline"/>
        <w:rPr>
          <w:sz w:val="24"/>
          <w:szCs w:val="24"/>
          <w:lang w:eastAsia="en-GB"/>
        </w:rPr>
      </w:pPr>
    </w:p>
    <w:p w14:paraId="1BAA1BB3" w14:textId="67F574E5" w:rsidR="005E625C" w:rsidRDefault="005E625C" w:rsidP="006C4A25">
      <w:pPr>
        <w:rPr>
          <w:rFonts w:asciiTheme="minorHAnsi" w:hAnsiTheme="minorHAnsi" w:cstheme="minorHAnsi"/>
          <w:sz w:val="23"/>
        </w:rPr>
      </w:pPr>
    </w:p>
    <w:p w14:paraId="4359277B" w14:textId="541D32C2" w:rsidR="00A9491E" w:rsidRPr="009F6F4A" w:rsidRDefault="00A9491E" w:rsidP="00083B74">
      <w:pPr>
        <w:rPr>
          <w:rFonts w:asciiTheme="minorHAnsi" w:hAnsiTheme="minorHAnsi" w:cstheme="minorHAnsi"/>
          <w:b/>
          <w:sz w:val="23"/>
        </w:rPr>
      </w:pPr>
    </w:p>
    <w:sectPr w:rsidR="00A9491E" w:rsidRPr="009F6F4A" w:rsidSect="00FE3731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EEAC" w14:textId="77777777" w:rsidR="00A7304C" w:rsidRDefault="00A7304C">
      <w:r>
        <w:separator/>
      </w:r>
    </w:p>
  </w:endnote>
  <w:endnote w:type="continuationSeparator" w:id="0">
    <w:p w14:paraId="77970EF8" w14:textId="77777777" w:rsidR="00A7304C" w:rsidRDefault="00A7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239E" w14:textId="77777777" w:rsidR="00833902" w:rsidRPr="009C096B" w:rsidRDefault="0083390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0AC6" w14:textId="77777777" w:rsidR="00A7304C" w:rsidRDefault="00A7304C">
      <w:r>
        <w:separator/>
      </w:r>
    </w:p>
  </w:footnote>
  <w:footnote w:type="continuationSeparator" w:id="0">
    <w:p w14:paraId="4506C15A" w14:textId="77777777" w:rsidR="00A7304C" w:rsidRDefault="00A7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B503" w14:textId="08BC3DB7" w:rsidR="00833902" w:rsidRPr="009C096B" w:rsidRDefault="0083390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344"/>
    <w:multiLevelType w:val="hybridMultilevel"/>
    <w:tmpl w:val="836074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20AF3"/>
    <w:multiLevelType w:val="hybridMultilevel"/>
    <w:tmpl w:val="8C96D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B0867"/>
    <w:multiLevelType w:val="hybridMultilevel"/>
    <w:tmpl w:val="F5AC58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E232C"/>
    <w:multiLevelType w:val="hybridMultilevel"/>
    <w:tmpl w:val="1C74CD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931EB"/>
    <w:multiLevelType w:val="hybridMultilevel"/>
    <w:tmpl w:val="7932D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3E38E6"/>
    <w:multiLevelType w:val="hybridMultilevel"/>
    <w:tmpl w:val="1B388A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54C62"/>
    <w:multiLevelType w:val="hybridMultilevel"/>
    <w:tmpl w:val="17963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B316B"/>
    <w:multiLevelType w:val="hybridMultilevel"/>
    <w:tmpl w:val="4C24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B"/>
    <w:multiLevelType w:val="hybridMultilevel"/>
    <w:tmpl w:val="0450C1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78056085">
    <w:abstractNumId w:val="8"/>
  </w:num>
  <w:num w:numId="2" w16cid:durableId="915088976">
    <w:abstractNumId w:val="1"/>
  </w:num>
  <w:num w:numId="3" w16cid:durableId="1505893960">
    <w:abstractNumId w:val="0"/>
  </w:num>
  <w:num w:numId="4" w16cid:durableId="156386876">
    <w:abstractNumId w:val="10"/>
  </w:num>
  <w:num w:numId="5" w16cid:durableId="748038629">
    <w:abstractNumId w:val="4"/>
  </w:num>
  <w:num w:numId="6" w16cid:durableId="683869594">
    <w:abstractNumId w:val="7"/>
  </w:num>
  <w:num w:numId="7" w16cid:durableId="798033807">
    <w:abstractNumId w:val="5"/>
  </w:num>
  <w:num w:numId="8" w16cid:durableId="1941910164">
    <w:abstractNumId w:val="14"/>
  </w:num>
  <w:num w:numId="9" w16cid:durableId="1942638988">
    <w:abstractNumId w:val="13"/>
  </w:num>
  <w:num w:numId="10" w16cid:durableId="97146929">
    <w:abstractNumId w:val="3"/>
  </w:num>
  <w:num w:numId="11" w16cid:durableId="799691656">
    <w:abstractNumId w:val="6"/>
  </w:num>
  <w:num w:numId="12" w16cid:durableId="1774521082">
    <w:abstractNumId w:val="12"/>
  </w:num>
  <w:num w:numId="13" w16cid:durableId="487476918">
    <w:abstractNumId w:val="2"/>
  </w:num>
  <w:num w:numId="14" w16cid:durableId="263615383">
    <w:abstractNumId w:val="9"/>
  </w:num>
  <w:num w:numId="15" w16cid:durableId="1512181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C"/>
    <w:rsid w:val="000003D5"/>
    <w:rsid w:val="0001041B"/>
    <w:rsid w:val="00010DE8"/>
    <w:rsid w:val="00021A00"/>
    <w:rsid w:val="00040B67"/>
    <w:rsid w:val="00052B4D"/>
    <w:rsid w:val="000563F6"/>
    <w:rsid w:val="00057158"/>
    <w:rsid w:val="00060038"/>
    <w:rsid w:val="00060515"/>
    <w:rsid w:val="00065861"/>
    <w:rsid w:val="000714CE"/>
    <w:rsid w:val="00083B74"/>
    <w:rsid w:val="00086D3B"/>
    <w:rsid w:val="000A0AC5"/>
    <w:rsid w:val="000A2177"/>
    <w:rsid w:val="000B723A"/>
    <w:rsid w:val="000C2B96"/>
    <w:rsid w:val="000E22B1"/>
    <w:rsid w:val="000F2FC9"/>
    <w:rsid w:val="000F38D6"/>
    <w:rsid w:val="000F5656"/>
    <w:rsid w:val="00111693"/>
    <w:rsid w:val="00135E1F"/>
    <w:rsid w:val="00136014"/>
    <w:rsid w:val="0015077E"/>
    <w:rsid w:val="001530A0"/>
    <w:rsid w:val="0015362A"/>
    <w:rsid w:val="00160AE4"/>
    <w:rsid w:val="001624D7"/>
    <w:rsid w:val="001652E1"/>
    <w:rsid w:val="00166D02"/>
    <w:rsid w:val="001720B8"/>
    <w:rsid w:val="00174369"/>
    <w:rsid w:val="00184129"/>
    <w:rsid w:val="00191970"/>
    <w:rsid w:val="00196F22"/>
    <w:rsid w:val="001972BB"/>
    <w:rsid w:val="001A0866"/>
    <w:rsid w:val="001C2745"/>
    <w:rsid w:val="001C72B4"/>
    <w:rsid w:val="001D1334"/>
    <w:rsid w:val="001D2EEE"/>
    <w:rsid w:val="001E16DC"/>
    <w:rsid w:val="001E20AE"/>
    <w:rsid w:val="001E5A5B"/>
    <w:rsid w:val="001E6359"/>
    <w:rsid w:val="001E79BC"/>
    <w:rsid w:val="001E7B43"/>
    <w:rsid w:val="00210B2D"/>
    <w:rsid w:val="0021534A"/>
    <w:rsid w:val="0021712C"/>
    <w:rsid w:val="00220A66"/>
    <w:rsid w:val="00223F71"/>
    <w:rsid w:val="00232420"/>
    <w:rsid w:val="002353F8"/>
    <w:rsid w:val="0025045C"/>
    <w:rsid w:val="00254AB4"/>
    <w:rsid w:val="00257A0C"/>
    <w:rsid w:val="00261017"/>
    <w:rsid w:val="0026460E"/>
    <w:rsid w:val="00267557"/>
    <w:rsid w:val="00274B34"/>
    <w:rsid w:val="00280F4C"/>
    <w:rsid w:val="0028187D"/>
    <w:rsid w:val="00284A26"/>
    <w:rsid w:val="00295369"/>
    <w:rsid w:val="002A1FEE"/>
    <w:rsid w:val="002A2125"/>
    <w:rsid w:val="002A2580"/>
    <w:rsid w:val="002B7774"/>
    <w:rsid w:val="002C295C"/>
    <w:rsid w:val="002C40CF"/>
    <w:rsid w:val="002D00E9"/>
    <w:rsid w:val="002D57FE"/>
    <w:rsid w:val="002E6450"/>
    <w:rsid w:val="003010BC"/>
    <w:rsid w:val="003025AC"/>
    <w:rsid w:val="00304FFA"/>
    <w:rsid w:val="0030585E"/>
    <w:rsid w:val="00321A2A"/>
    <w:rsid w:val="0032217F"/>
    <w:rsid w:val="0032228F"/>
    <w:rsid w:val="00324C66"/>
    <w:rsid w:val="00341838"/>
    <w:rsid w:val="00355F3D"/>
    <w:rsid w:val="003653B5"/>
    <w:rsid w:val="00365652"/>
    <w:rsid w:val="00365DA7"/>
    <w:rsid w:val="00392CF5"/>
    <w:rsid w:val="003A1745"/>
    <w:rsid w:val="003A21D4"/>
    <w:rsid w:val="003B0976"/>
    <w:rsid w:val="003B40D5"/>
    <w:rsid w:val="003C4C3E"/>
    <w:rsid w:val="003D64CE"/>
    <w:rsid w:val="003F27E6"/>
    <w:rsid w:val="003F5F48"/>
    <w:rsid w:val="00405467"/>
    <w:rsid w:val="00405B02"/>
    <w:rsid w:val="00406A4E"/>
    <w:rsid w:val="004136B4"/>
    <w:rsid w:val="00420369"/>
    <w:rsid w:val="0042352D"/>
    <w:rsid w:val="004307E6"/>
    <w:rsid w:val="00440819"/>
    <w:rsid w:val="00440CE1"/>
    <w:rsid w:val="004461D9"/>
    <w:rsid w:val="00451189"/>
    <w:rsid w:val="00454AFA"/>
    <w:rsid w:val="00464D6E"/>
    <w:rsid w:val="004675DF"/>
    <w:rsid w:val="004A41E9"/>
    <w:rsid w:val="004B36DB"/>
    <w:rsid w:val="004B3AD3"/>
    <w:rsid w:val="004C68E0"/>
    <w:rsid w:val="004F3FBA"/>
    <w:rsid w:val="00506A29"/>
    <w:rsid w:val="00506EC7"/>
    <w:rsid w:val="005147E9"/>
    <w:rsid w:val="005165E8"/>
    <w:rsid w:val="00517267"/>
    <w:rsid w:val="00536072"/>
    <w:rsid w:val="00536F43"/>
    <w:rsid w:val="00540B94"/>
    <w:rsid w:val="00557E4E"/>
    <w:rsid w:val="005706E8"/>
    <w:rsid w:val="00570F55"/>
    <w:rsid w:val="00571255"/>
    <w:rsid w:val="005719EA"/>
    <w:rsid w:val="00581C92"/>
    <w:rsid w:val="00585880"/>
    <w:rsid w:val="005860AE"/>
    <w:rsid w:val="005A34C5"/>
    <w:rsid w:val="005B59D9"/>
    <w:rsid w:val="005D0DA1"/>
    <w:rsid w:val="005D4E02"/>
    <w:rsid w:val="005E625C"/>
    <w:rsid w:val="005F31DE"/>
    <w:rsid w:val="0060210A"/>
    <w:rsid w:val="00611351"/>
    <w:rsid w:val="0061313A"/>
    <w:rsid w:val="00620473"/>
    <w:rsid w:val="0062108A"/>
    <w:rsid w:val="006321F5"/>
    <w:rsid w:val="00634F36"/>
    <w:rsid w:val="00646247"/>
    <w:rsid w:val="006478A6"/>
    <w:rsid w:val="00671DC7"/>
    <w:rsid w:val="00673640"/>
    <w:rsid w:val="00693A74"/>
    <w:rsid w:val="006A0EB0"/>
    <w:rsid w:val="006A3495"/>
    <w:rsid w:val="006A7525"/>
    <w:rsid w:val="006C4A25"/>
    <w:rsid w:val="006D1A29"/>
    <w:rsid w:val="006F2404"/>
    <w:rsid w:val="006F38DA"/>
    <w:rsid w:val="00700462"/>
    <w:rsid w:val="00702E2E"/>
    <w:rsid w:val="00712CBC"/>
    <w:rsid w:val="00724A5A"/>
    <w:rsid w:val="00727FB6"/>
    <w:rsid w:val="00731444"/>
    <w:rsid w:val="00737DA8"/>
    <w:rsid w:val="007503B0"/>
    <w:rsid w:val="00753053"/>
    <w:rsid w:val="00753639"/>
    <w:rsid w:val="0075720A"/>
    <w:rsid w:val="00765F5B"/>
    <w:rsid w:val="00766765"/>
    <w:rsid w:val="0076732C"/>
    <w:rsid w:val="007922D0"/>
    <w:rsid w:val="00795B14"/>
    <w:rsid w:val="00796B9F"/>
    <w:rsid w:val="007A1E6B"/>
    <w:rsid w:val="007B148A"/>
    <w:rsid w:val="007C5F5C"/>
    <w:rsid w:val="007C75B3"/>
    <w:rsid w:val="007D1DEA"/>
    <w:rsid w:val="007F1ECF"/>
    <w:rsid w:val="007F6FB9"/>
    <w:rsid w:val="00807BC7"/>
    <w:rsid w:val="00816493"/>
    <w:rsid w:val="00817FAB"/>
    <w:rsid w:val="00822DDD"/>
    <w:rsid w:val="00826E6D"/>
    <w:rsid w:val="008303CF"/>
    <w:rsid w:val="00833902"/>
    <w:rsid w:val="00862D14"/>
    <w:rsid w:val="00866A5C"/>
    <w:rsid w:val="00883670"/>
    <w:rsid w:val="00887228"/>
    <w:rsid w:val="00892F58"/>
    <w:rsid w:val="008A1353"/>
    <w:rsid w:val="008C08EA"/>
    <w:rsid w:val="008C1622"/>
    <w:rsid w:val="008D0C12"/>
    <w:rsid w:val="008D14CB"/>
    <w:rsid w:val="008D1D62"/>
    <w:rsid w:val="008D4A25"/>
    <w:rsid w:val="008D5070"/>
    <w:rsid w:val="008E2602"/>
    <w:rsid w:val="008E30EF"/>
    <w:rsid w:val="008E42EC"/>
    <w:rsid w:val="008F1EB4"/>
    <w:rsid w:val="00900B62"/>
    <w:rsid w:val="00905298"/>
    <w:rsid w:val="00906293"/>
    <w:rsid w:val="00907E02"/>
    <w:rsid w:val="00911405"/>
    <w:rsid w:val="00914F4D"/>
    <w:rsid w:val="00924C16"/>
    <w:rsid w:val="0093226D"/>
    <w:rsid w:val="00954367"/>
    <w:rsid w:val="00954764"/>
    <w:rsid w:val="00975E61"/>
    <w:rsid w:val="00981E5E"/>
    <w:rsid w:val="00986DA1"/>
    <w:rsid w:val="0098768B"/>
    <w:rsid w:val="00994171"/>
    <w:rsid w:val="009965B3"/>
    <w:rsid w:val="00996EEA"/>
    <w:rsid w:val="009A281B"/>
    <w:rsid w:val="009A2885"/>
    <w:rsid w:val="009B6948"/>
    <w:rsid w:val="009C1307"/>
    <w:rsid w:val="009C4B55"/>
    <w:rsid w:val="009C5C1F"/>
    <w:rsid w:val="009D3F73"/>
    <w:rsid w:val="009D6846"/>
    <w:rsid w:val="009E44FA"/>
    <w:rsid w:val="009F14F5"/>
    <w:rsid w:val="009F6F4A"/>
    <w:rsid w:val="00A05690"/>
    <w:rsid w:val="00A07E06"/>
    <w:rsid w:val="00A105B0"/>
    <w:rsid w:val="00A22DEA"/>
    <w:rsid w:val="00A2389B"/>
    <w:rsid w:val="00A26D8D"/>
    <w:rsid w:val="00A353F0"/>
    <w:rsid w:val="00A5168D"/>
    <w:rsid w:val="00A534B4"/>
    <w:rsid w:val="00A67C28"/>
    <w:rsid w:val="00A72E24"/>
    <w:rsid w:val="00A7304C"/>
    <w:rsid w:val="00A76F34"/>
    <w:rsid w:val="00A82CD1"/>
    <w:rsid w:val="00A9491E"/>
    <w:rsid w:val="00A97265"/>
    <w:rsid w:val="00A97F37"/>
    <w:rsid w:val="00AB69B0"/>
    <w:rsid w:val="00AC0DB8"/>
    <w:rsid w:val="00AC4429"/>
    <w:rsid w:val="00AC46AB"/>
    <w:rsid w:val="00AC598A"/>
    <w:rsid w:val="00AC65B2"/>
    <w:rsid w:val="00AD5D48"/>
    <w:rsid w:val="00AD66B5"/>
    <w:rsid w:val="00AD7186"/>
    <w:rsid w:val="00AF30DE"/>
    <w:rsid w:val="00B06C50"/>
    <w:rsid w:val="00B10826"/>
    <w:rsid w:val="00B335EE"/>
    <w:rsid w:val="00B413C4"/>
    <w:rsid w:val="00B475A2"/>
    <w:rsid w:val="00B50285"/>
    <w:rsid w:val="00B626D6"/>
    <w:rsid w:val="00B64D6E"/>
    <w:rsid w:val="00B66D4E"/>
    <w:rsid w:val="00B804B9"/>
    <w:rsid w:val="00B83DC6"/>
    <w:rsid w:val="00B84E87"/>
    <w:rsid w:val="00B93375"/>
    <w:rsid w:val="00B93FC2"/>
    <w:rsid w:val="00B95F26"/>
    <w:rsid w:val="00B96FE0"/>
    <w:rsid w:val="00BA6277"/>
    <w:rsid w:val="00BB0821"/>
    <w:rsid w:val="00BC226D"/>
    <w:rsid w:val="00BC47C4"/>
    <w:rsid w:val="00BD1C99"/>
    <w:rsid w:val="00BE1280"/>
    <w:rsid w:val="00BE2AF8"/>
    <w:rsid w:val="00BE4903"/>
    <w:rsid w:val="00BE5C07"/>
    <w:rsid w:val="00BF7E7E"/>
    <w:rsid w:val="00C00584"/>
    <w:rsid w:val="00C0413F"/>
    <w:rsid w:val="00C20F6F"/>
    <w:rsid w:val="00C329C7"/>
    <w:rsid w:val="00C40143"/>
    <w:rsid w:val="00C4207F"/>
    <w:rsid w:val="00C46EF3"/>
    <w:rsid w:val="00C502A5"/>
    <w:rsid w:val="00C5744D"/>
    <w:rsid w:val="00C651AC"/>
    <w:rsid w:val="00C74660"/>
    <w:rsid w:val="00C82BBE"/>
    <w:rsid w:val="00CA08DB"/>
    <w:rsid w:val="00CA0B56"/>
    <w:rsid w:val="00CA4D12"/>
    <w:rsid w:val="00CA4D1C"/>
    <w:rsid w:val="00CB7D1D"/>
    <w:rsid w:val="00CC2071"/>
    <w:rsid w:val="00CC3B6B"/>
    <w:rsid w:val="00CD4420"/>
    <w:rsid w:val="00CE384E"/>
    <w:rsid w:val="00CE6BFD"/>
    <w:rsid w:val="00CE7FC7"/>
    <w:rsid w:val="00CF4BD1"/>
    <w:rsid w:val="00CF4F6E"/>
    <w:rsid w:val="00D060B5"/>
    <w:rsid w:val="00D060E1"/>
    <w:rsid w:val="00D26F5B"/>
    <w:rsid w:val="00D31705"/>
    <w:rsid w:val="00D42214"/>
    <w:rsid w:val="00D4342E"/>
    <w:rsid w:val="00D44287"/>
    <w:rsid w:val="00D51EC9"/>
    <w:rsid w:val="00D562C3"/>
    <w:rsid w:val="00D61484"/>
    <w:rsid w:val="00D6713E"/>
    <w:rsid w:val="00D67F00"/>
    <w:rsid w:val="00D77C5A"/>
    <w:rsid w:val="00D8521E"/>
    <w:rsid w:val="00D9536F"/>
    <w:rsid w:val="00DA45E9"/>
    <w:rsid w:val="00DA6EA7"/>
    <w:rsid w:val="00DB1487"/>
    <w:rsid w:val="00DB520B"/>
    <w:rsid w:val="00DF33C9"/>
    <w:rsid w:val="00E029C5"/>
    <w:rsid w:val="00E1678C"/>
    <w:rsid w:val="00E221FB"/>
    <w:rsid w:val="00E22C54"/>
    <w:rsid w:val="00E36539"/>
    <w:rsid w:val="00E4484E"/>
    <w:rsid w:val="00E45E51"/>
    <w:rsid w:val="00E475AC"/>
    <w:rsid w:val="00E55B4D"/>
    <w:rsid w:val="00E60B32"/>
    <w:rsid w:val="00E66AF5"/>
    <w:rsid w:val="00E92A4F"/>
    <w:rsid w:val="00E9774B"/>
    <w:rsid w:val="00EA0D02"/>
    <w:rsid w:val="00EA4AAE"/>
    <w:rsid w:val="00EA71D5"/>
    <w:rsid w:val="00EB07C5"/>
    <w:rsid w:val="00EB0AC7"/>
    <w:rsid w:val="00EB1990"/>
    <w:rsid w:val="00EB1F54"/>
    <w:rsid w:val="00EB641F"/>
    <w:rsid w:val="00EC048B"/>
    <w:rsid w:val="00EC04EE"/>
    <w:rsid w:val="00ED05CE"/>
    <w:rsid w:val="00F126C5"/>
    <w:rsid w:val="00F17250"/>
    <w:rsid w:val="00F21049"/>
    <w:rsid w:val="00F25519"/>
    <w:rsid w:val="00F25F89"/>
    <w:rsid w:val="00F3346F"/>
    <w:rsid w:val="00F42CE1"/>
    <w:rsid w:val="00F53DD2"/>
    <w:rsid w:val="00F70C6F"/>
    <w:rsid w:val="00F725FB"/>
    <w:rsid w:val="00F75143"/>
    <w:rsid w:val="00F80367"/>
    <w:rsid w:val="00F97C1A"/>
    <w:rsid w:val="00FB3746"/>
    <w:rsid w:val="00FB65D9"/>
    <w:rsid w:val="00FC2BC5"/>
    <w:rsid w:val="00FC3312"/>
    <w:rsid w:val="00FD5255"/>
    <w:rsid w:val="00FE3731"/>
    <w:rsid w:val="00FE786A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204FD"/>
  <w15:docId w15:val="{BCC77AA5-424C-4E6E-9153-FC17F9E6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C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26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60210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rsid w:val="00D26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F5B"/>
  </w:style>
  <w:style w:type="character" w:customStyle="1" w:styleId="CommentTextChar">
    <w:name w:val="Comment Text Char"/>
    <w:link w:val="CommentText"/>
    <w:rsid w:val="00D26F5B"/>
    <w:rPr>
      <w:lang w:eastAsia="en-US"/>
    </w:rPr>
  </w:style>
  <w:style w:type="paragraph" w:customStyle="1" w:styleId="paragraph">
    <w:name w:val="paragraph"/>
    <w:basedOn w:val="Normal"/>
    <w:rsid w:val="0076676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66765"/>
  </w:style>
  <w:style w:type="character" w:customStyle="1" w:styleId="eop">
    <w:name w:val="eop"/>
    <w:basedOn w:val="DefaultParagraphFont"/>
    <w:rsid w:val="0076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Flindall</dc:creator>
  <cp:lastModifiedBy>Charlotte Harris</cp:lastModifiedBy>
  <cp:revision>2</cp:revision>
  <cp:lastPrinted>2012-06-18T09:20:00Z</cp:lastPrinted>
  <dcterms:created xsi:type="dcterms:W3CDTF">2024-08-08T08:58:00Z</dcterms:created>
  <dcterms:modified xsi:type="dcterms:W3CDTF">2024-08-08T08:58:00Z</dcterms:modified>
</cp:coreProperties>
</file>